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8F099" w14:textId="2E6C315C" w:rsidR="00BA29D2" w:rsidRPr="0067473A" w:rsidRDefault="0067473A" w:rsidP="0067473A">
      <w:pPr>
        <w:jc w:val="center"/>
        <w:rPr>
          <w:b/>
          <w:bCs/>
          <w:sz w:val="28"/>
          <w:szCs w:val="28"/>
          <w:lang w:val="en-US"/>
        </w:rPr>
      </w:pPr>
      <w:r w:rsidRPr="0067473A">
        <w:rPr>
          <w:b/>
          <w:bCs/>
          <w:sz w:val="28"/>
          <w:szCs w:val="28"/>
          <w:lang w:val="en-US"/>
        </w:rPr>
        <w:t xml:space="preserve">ANACOM’s contribution to the consultation </w:t>
      </w:r>
      <w:r w:rsidRPr="0067473A">
        <w:rPr>
          <w:b/>
          <w:bCs/>
          <w:sz w:val="28"/>
          <w:szCs w:val="28"/>
          <w:lang w:val="en-US"/>
        </w:rPr>
        <w:t xml:space="preserve">on the template relating to the reporting on consumer profiling </w:t>
      </w:r>
      <w:proofErr w:type="gramStart"/>
      <w:r w:rsidRPr="0067473A">
        <w:rPr>
          <w:b/>
          <w:bCs/>
          <w:sz w:val="28"/>
          <w:szCs w:val="28"/>
          <w:lang w:val="en-US"/>
        </w:rPr>
        <w:t>techniques</w:t>
      </w:r>
      <w:proofErr w:type="gramEnd"/>
    </w:p>
    <w:p w14:paraId="2418C6DD" w14:textId="77777777" w:rsidR="0067473A" w:rsidRDefault="0067473A">
      <w:pPr>
        <w:rPr>
          <w:lang w:val="en-US"/>
        </w:rPr>
      </w:pPr>
    </w:p>
    <w:p w14:paraId="1A916786" w14:textId="77777777" w:rsidR="0067473A" w:rsidRDefault="0067473A" w:rsidP="0067473A">
      <w:p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 xml:space="preserve">A análise do documento relativo ao </w:t>
      </w:r>
      <w:proofErr w:type="spellStart"/>
      <w:r>
        <w:rPr>
          <w:i/>
          <w:iCs/>
          <w:color w:val="000000"/>
        </w:rPr>
        <w:t>template</w:t>
      </w:r>
      <w:proofErr w:type="spellEnd"/>
      <w:r>
        <w:rPr>
          <w:color w:val="000000"/>
        </w:rPr>
        <w:t xml:space="preserve"> para a descrição das técnicas de definição de perfis dos consumidores que os </w:t>
      </w:r>
      <w:proofErr w:type="spellStart"/>
      <w:r>
        <w:rPr>
          <w:i/>
          <w:iCs/>
          <w:color w:val="000000"/>
        </w:rPr>
        <w:t>gatekeepers</w:t>
      </w:r>
      <w:proofErr w:type="spellEnd"/>
      <w:r>
        <w:rPr>
          <w:color w:val="000000"/>
        </w:rPr>
        <w:t xml:space="preserve"> terão de submeter anualmente ao abrigo do Artigo 15.º do Regulamento dos Mercados Digitais (DMA), submetido a consulta pública pela Comissão Europeia a 31.07.2023, suscita os seguintes comentários da ANACOM, em particular no que respeita à informação a solicitar no âmbito do ponto 2.1. da secção 2 do referido</w:t>
      </w:r>
      <w:r>
        <w:rPr>
          <w:i/>
          <w:iCs/>
          <w:color w:val="000000"/>
        </w:rPr>
        <w:t xml:space="preserve"> </w:t>
      </w:r>
      <w:proofErr w:type="spellStart"/>
      <w:r>
        <w:rPr>
          <w:i/>
          <w:iCs/>
          <w:color w:val="000000"/>
        </w:rPr>
        <w:t>template</w:t>
      </w:r>
      <w:proofErr w:type="spellEnd"/>
      <w:r>
        <w:rPr>
          <w:color w:val="000000"/>
        </w:rPr>
        <w:t>:</w:t>
      </w:r>
    </w:p>
    <w:p w14:paraId="573D51CD" w14:textId="77777777" w:rsidR="0067473A" w:rsidRDefault="0067473A" w:rsidP="006747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alínea (f): Embora o considerando 38 do DMA remeta para a importância da proteção dos menores, nota-se que nenhum artigo concretiza os moldes dessa proteção no contexto da definição de perfis. Adicionalmente, importa ter presente que o Regulamento dos Serviços Digitais (DSA) contempla medidas concretas para garantir essa proteção no contexto digital, nomeadamente a proibição de os fornecedores de plataformas </w:t>
      </w:r>
      <w:r>
        <w:rPr>
          <w:rFonts w:eastAsia="Times New Roman"/>
          <w:i/>
          <w:iCs/>
          <w:color w:val="000000"/>
        </w:rPr>
        <w:t>online</w:t>
      </w:r>
      <w:r>
        <w:rPr>
          <w:rFonts w:eastAsia="Times New Roman"/>
          <w:color w:val="000000"/>
        </w:rPr>
        <w:t xml:space="preserve"> exibirem anúncios publicitários com base na definição de perfis, utilizando dados pessoais do utilizador quando têm conhecimento de que este é menor (</w:t>
      </w:r>
      <w:proofErr w:type="spellStart"/>
      <w:r>
        <w:rPr>
          <w:rFonts w:eastAsia="Times New Roman"/>
          <w:color w:val="000000"/>
        </w:rPr>
        <w:t>cfr</w:t>
      </w:r>
      <w:proofErr w:type="spellEnd"/>
      <w:r>
        <w:rPr>
          <w:rFonts w:eastAsia="Times New Roman"/>
          <w:color w:val="000000"/>
        </w:rPr>
        <w:t xml:space="preserve">. n.º 2 do artigo 28.º). No entanto, tal como decorre do n.º 3 do mesmo artigo 28.º do DSA, os fornecedores de plataformas </w:t>
      </w:r>
      <w:r>
        <w:rPr>
          <w:rFonts w:eastAsia="Times New Roman"/>
          <w:i/>
          <w:iCs/>
          <w:color w:val="000000"/>
        </w:rPr>
        <w:t>online</w:t>
      </w:r>
      <w:r>
        <w:rPr>
          <w:rFonts w:eastAsia="Times New Roman"/>
          <w:color w:val="000000"/>
        </w:rPr>
        <w:t xml:space="preserve"> não são obrigados a tratarem dados pessoais adicionais para avaliarem se o destinatário do serviço é um menor. Nesse sentido, ainda que a informação a solicitar no âmbito da alínea f) do ponto 2.1. possa ser, em parte, desproporcional, nota-se que esta permitirá validar o cumprimento do artigo 28.º do DSA, ainda que apenas para as plataformas </w:t>
      </w:r>
      <w:r>
        <w:rPr>
          <w:rFonts w:eastAsia="Times New Roman"/>
          <w:i/>
          <w:iCs/>
          <w:color w:val="000000"/>
        </w:rPr>
        <w:t>online</w:t>
      </w:r>
      <w:r>
        <w:rPr>
          <w:rFonts w:eastAsia="Times New Roman"/>
          <w:color w:val="000000"/>
        </w:rPr>
        <w:t xml:space="preserve"> de muito grande dimensão e para os motores de pesquisa </w:t>
      </w:r>
      <w:r>
        <w:rPr>
          <w:rFonts w:eastAsia="Times New Roman"/>
          <w:i/>
          <w:iCs/>
          <w:color w:val="000000"/>
        </w:rPr>
        <w:t xml:space="preserve">online </w:t>
      </w:r>
      <w:r>
        <w:rPr>
          <w:rFonts w:eastAsia="Times New Roman"/>
          <w:color w:val="000000"/>
        </w:rPr>
        <w:t xml:space="preserve">de muito grande dimensão. Este </w:t>
      </w:r>
      <w:proofErr w:type="spellStart"/>
      <w:r>
        <w:rPr>
          <w:rFonts w:eastAsia="Times New Roman"/>
          <w:color w:val="000000"/>
        </w:rPr>
        <w:t>aspecto</w:t>
      </w:r>
      <w:proofErr w:type="spellEnd"/>
      <w:r>
        <w:rPr>
          <w:rFonts w:eastAsia="Times New Roman"/>
          <w:color w:val="000000"/>
        </w:rPr>
        <w:t xml:space="preserve"> evidencia bem a importância da articulação entre o DSA e o DMA relativamente a temas comuns, numa ótica de complementaridade, por forma a evitar eventuais sobreposições. “.</w:t>
      </w:r>
    </w:p>
    <w:p w14:paraId="6678024F" w14:textId="77777777" w:rsidR="0067473A" w:rsidRDefault="0067473A" w:rsidP="006747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alínea (l): Considera-se que a informação solicitada na alínea (l) poderá ser desproporcional, na medida em que requer um tratamento estatístico por parte dos </w:t>
      </w:r>
      <w:proofErr w:type="spellStart"/>
      <w:r>
        <w:rPr>
          <w:rFonts w:eastAsia="Times New Roman"/>
          <w:i/>
          <w:iCs/>
          <w:color w:val="000000"/>
        </w:rPr>
        <w:t>gatekeepers</w:t>
      </w:r>
      <w:proofErr w:type="spellEnd"/>
      <w:r>
        <w:rPr>
          <w:rFonts w:eastAsia="Times New Roman"/>
          <w:color w:val="000000"/>
        </w:rPr>
        <w:t>, que atualmente não existe e que não estava explicitamente previsto no DMA, pese embora se reconheça que a informação em causa seja um dado relevante para efeitos de transparência sobre o comportamento dos consumidores para efeitos da contestabilidade do mercado, nos termos previstos nos considerandos 72 e 99.</w:t>
      </w:r>
    </w:p>
    <w:p w14:paraId="24FD6C90" w14:textId="77777777" w:rsidR="0067473A" w:rsidRDefault="0067473A" w:rsidP="0067473A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alínea (m): A informação solicitada nesta alínea parece ir mais além do</w:t>
      </w:r>
      <w:r>
        <w:rPr>
          <w:rFonts w:eastAsia="Times New Roman"/>
          <w:color w:val="70AD47"/>
        </w:rPr>
        <w:t xml:space="preserve"> </w:t>
      </w:r>
      <w:r>
        <w:rPr>
          <w:rFonts w:eastAsia="Times New Roman"/>
          <w:color w:val="000000"/>
        </w:rPr>
        <w:t xml:space="preserve">que está previsto no considerando 72 do DMA, ainda que a avaliação de impacto sobre a proteção de dados já se encontre prevista no artigo 35.º do Regulamento Geral sobre a Proteção de Dados (RGPD), pelo que os </w:t>
      </w:r>
      <w:proofErr w:type="spellStart"/>
      <w:r>
        <w:rPr>
          <w:rFonts w:eastAsia="Times New Roman"/>
          <w:i/>
          <w:iCs/>
          <w:color w:val="000000"/>
        </w:rPr>
        <w:t>gatekeepers</w:t>
      </w:r>
      <w:proofErr w:type="spellEnd"/>
      <w:r>
        <w:rPr>
          <w:rFonts w:eastAsia="Times New Roman"/>
          <w:color w:val="000000"/>
        </w:rPr>
        <w:t xml:space="preserve"> apenas teriam de indicar no referido </w:t>
      </w:r>
      <w:proofErr w:type="spellStart"/>
      <w:r>
        <w:rPr>
          <w:rFonts w:eastAsia="Times New Roman"/>
          <w:i/>
          <w:iCs/>
          <w:color w:val="000000"/>
        </w:rPr>
        <w:t>template</w:t>
      </w:r>
      <w:proofErr w:type="spellEnd"/>
      <w:r>
        <w:rPr>
          <w:rFonts w:eastAsia="Times New Roman"/>
          <w:color w:val="000000"/>
        </w:rPr>
        <w:t xml:space="preserve"> se a mesma foi concretizada e as suas respetivas conclusões.”</w:t>
      </w:r>
    </w:p>
    <w:p w14:paraId="293A9E51" w14:textId="77777777" w:rsidR="0067473A" w:rsidRDefault="0067473A" w:rsidP="0067473A"/>
    <w:p w14:paraId="239EABB4" w14:textId="77777777" w:rsidR="0067473A" w:rsidRPr="0067473A" w:rsidRDefault="0067473A"/>
    <w:sectPr w:rsidR="0067473A" w:rsidRPr="006747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9718F"/>
    <w:multiLevelType w:val="multilevel"/>
    <w:tmpl w:val="7CD8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6761757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3A"/>
    <w:rsid w:val="0067473A"/>
    <w:rsid w:val="00BA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CDD30"/>
  <w15:chartTrackingRefBased/>
  <w15:docId w15:val="{33D8DCF4-D93A-414C-AEAC-3B2361023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4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A0BDFF1823B4BC488305CC72AA7E9C5D" ma:contentTypeVersion="11" ma:contentTypeDescription="Create a new document." ma:contentTypeScope="" ma:versionID="2ec96d040356676af7d0b44ebe4783c3">
  <xsd:schema xmlns:xsd="http://www.w3.org/2001/XMLSchema" xmlns:xs="http://www.w3.org/2001/XMLSchema" xmlns:p="http://schemas.microsoft.com/office/2006/metadata/properties" xmlns:ns3="2dd8d85e-8862-4fd7-b17a-fcd630b045fb" xmlns:ns4="866aabb8-7ec2-447a-a7ff-f911015037e7" targetNamespace="http://schemas.microsoft.com/office/2006/metadata/properties" ma:root="true" ma:fieldsID="8c6cf43d11bcd74e93e3de6dac6e21b2" ns3:_="" ns4:_="">
    <xsd:import namespace="2dd8d85e-8862-4fd7-b17a-fcd630b045fb"/>
    <xsd:import namespace="866aabb8-7ec2-447a-a7ff-f911015037e7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3:EC_Collab_DocumentLanguage" minOccurs="0"/>
                <xsd:element ref="ns4:_dlc_DocId" minOccurs="0"/>
                <xsd:element ref="ns4:_dlc_DocIdUrl" minOccurs="0"/>
                <xsd:element ref="ns4:_dlc_DocIdPersistId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8d85e-8862-4fd7-b17a-fcd630b045fb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3" nillable="true" ma:displayName="Language" ma:default="EN" ma:internalName="EC_Collab_DocumentLanguage" ma:readOnly="fals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aabb8-7ec2-447a-a7ff-f911015037e7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2dd8d85e-8862-4fd7-b17a-fcd630b045fb">EN</EC_Collab_DocumentLanguage>
    <EC_Collab_Reference xmlns="2dd8d85e-8862-4fd7-b17a-fcd630b045fb" xsi:nil="true"/>
    <_dlc_DocId xmlns="866aabb8-7ec2-447a-a7ff-f911015037e7">UVNUSV5RWJH5-1794381228-14602</_dlc_DocId>
    <_dlc_DocIdUrl xmlns="866aabb8-7ec2-447a-a7ff-f911015037e7">
      <Url>https://myintracomm-collab.ec.europa.eu/dg/CONNECT/directorateF/UnitF2/_layouts/15/DocIdRedir.aspx?ID=UVNUSV5RWJH5-1794381228-14602</Url>
      <Description>UVNUSV5RWJH5-1794381228-14602</Description>
    </_dlc_DocIdUrl>
  </documentManagement>
</p:properties>
</file>

<file path=customXml/itemProps1.xml><?xml version="1.0" encoding="utf-8"?>
<ds:datastoreItem xmlns:ds="http://schemas.openxmlformats.org/officeDocument/2006/customXml" ds:itemID="{3BC31FFD-5FE2-4801-84EE-A2CEBEBF66EB}"/>
</file>

<file path=customXml/itemProps2.xml><?xml version="1.0" encoding="utf-8"?>
<ds:datastoreItem xmlns:ds="http://schemas.openxmlformats.org/officeDocument/2006/customXml" ds:itemID="{D42DED7F-2028-4F63-8422-4CF654FEAAB3}"/>
</file>

<file path=customXml/itemProps3.xml><?xml version="1.0" encoding="utf-8"?>
<ds:datastoreItem xmlns:ds="http://schemas.openxmlformats.org/officeDocument/2006/customXml" ds:itemID="{FDA12F72-9A18-4E72-AA36-7A9B862D52DB}"/>
</file>

<file path=customXml/itemProps4.xml><?xml version="1.0" encoding="utf-8"?>
<ds:datastoreItem xmlns:ds="http://schemas.openxmlformats.org/officeDocument/2006/customXml" ds:itemID="{57730583-7453-4229-A9CA-3C9AEB2F66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</dc:creator>
  <cp:keywords/>
  <dc:description/>
  <cp:lastModifiedBy>GRE</cp:lastModifiedBy>
  <cp:revision>1</cp:revision>
  <dcterms:created xsi:type="dcterms:W3CDTF">2023-09-14T11:37:00Z</dcterms:created>
  <dcterms:modified xsi:type="dcterms:W3CDTF">2023-09-14T11:40:00Z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0x010100258AA79CEB83498886A3A0868112325000A0BDFF1823B4BC488305CC72AA7E9C5D</vt:lpwstr>
  </property>
  <property fmtid="{D5CDD505-2E9C-101B-9397-08002B2CF9AE}" pid="3" name="_dlc_DocIdItemGuid">
    <vt:lpwstr>c5309476-b799-4186-b75a-84365cb70058</vt:lpwstr>
  </property>
</Properties>
</file>